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СИЛЛАБУС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үзгі семестр.  2024-2025 оқу жылы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Журналистика" білім беру 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ғдарламасы бойынша</w:t>
      </w:r>
    </w:p>
    <w:tbl>
      <w:tblPr/>
      <w:tblGrid>
        <w:gridCol w:w="1872"/>
        <w:gridCol w:w="751"/>
        <w:gridCol w:w="796"/>
        <w:gridCol w:w="1843"/>
        <w:gridCol w:w="992"/>
        <w:gridCol w:w="709"/>
        <w:gridCol w:w="568"/>
        <w:gridCol w:w="566"/>
        <w:gridCol w:w="396"/>
        <w:gridCol w:w="1021"/>
        <w:gridCol w:w="283"/>
        <w:gridCol w:w="851"/>
        <w:gridCol w:w="1273"/>
        <w:gridCol w:w="851"/>
      </w:tblGrid>
      <w:tr>
        <w:trPr>
          <w:trHeight w:val="265" w:hRule="auto"/>
          <w:jc w:val="left"/>
        </w:trPr>
        <w:tc>
          <w:tcPr>
            <w:tcW w:w="3419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коды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өзіндік жұмысы (СӨЖ)</w:t>
            </w:r>
          </w:p>
        </w:tc>
        <w:tc>
          <w:tcPr>
            <w:tcW w:w="354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 саны</w:t>
            </w:r>
          </w:p>
        </w:tc>
        <w:tc>
          <w:tcPr>
            <w:tcW w:w="12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</w:tr>
      <w:tr>
        <w:trPr>
          <w:trHeight w:val="265" w:hRule="auto"/>
          <w:jc w:val="left"/>
        </w:trPr>
        <w:tc>
          <w:tcPr>
            <w:tcW w:w="3419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әрістер (Д)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Практ. 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қтар (ПС)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NIPRM 2206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Медиакоммуникацияда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әлеуметтік желілер алгоритімі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1921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туралы 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ақпарат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 түрі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түрі / сипаты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 түрлері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сабақтардың түрлері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саны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Қорытынды бақылау нысаны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аралас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дәріс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пікірталастар, жобалар,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тапсырмалар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</w:t>
            </w:r>
          </w:p>
        </w:tc>
      </w:tr>
      <w:tr>
        <w:trPr>
          <w:trHeight w:val="214" w:hRule="auto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Лектор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ashirbaev.1974@mail.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87014850481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12772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адемиялық презентациясы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мақсаты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қытудан күтілетін нәтижелер (ОН)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әнді оқу нәтижесінде білім алушы: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(ИД)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қол жеткізу индикаторлары)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әрбір ОН-ға 2 индикатордан кем емес)</w:t>
            </w:r>
          </w:p>
        </w:tc>
      </w:tr>
      <w:tr>
        <w:trPr>
          <w:trHeight w:val="165" w:hRule="auto"/>
          <w:jc w:val="left"/>
        </w:trPr>
        <w:tc>
          <w:tcPr>
            <w:tcW w:w="262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мақсаты-студенттерге ішкі пиардың теориясы мен практикасын қолдана отырып, нарықтық қатынастар заңына сәйкес ережелерді таныстыру.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қоғамдағы басқару проблемасын түсіндіру;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 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ұғымдарын салыстырыңыз: мәтін, PR мәтіні, жарнамалық мәтін және т. 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құжаттарды қолдану мақсаты бойынша сыныптау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әтіндерінің дизайнына қойылатын талаптарды түсіндіріңіз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қпараттық PR-материалдар теориясы туралы білімдерін көрсету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 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қып-үйрену;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2.1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хабарлама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үшін мәтін құрылымының қарапайым модельдерін түсіндіріңіз.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 бен істің алшақтығын кеміті.</w:t>
            </w:r>
          </w:p>
          <w:p>
            <w:pPr>
              <w:spacing w:before="0" w:after="0" w:line="240"/>
              <w:ind w:right="28" w:left="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әселелерін шешу үшін редакциялау кезінде мәтінді күшейту әдістерін қолданыңыз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3.1.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қпараттық құжаттардың PR-әсерінің мақсатын тұжырымдау.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3.2.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 беру үшін аудиторияның "ақпараттық тұрағын" анықтаңыз және қолданыңыз.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ID 3.3 PR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әтінінде жеке сурет жасаңыз.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тілін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Ұжым беделін көтеретін шаралар.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Құқықтық базаны тану.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ңа медианың мүмкіндіктер меңгеру.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маңызды теориялық-методологиялық құрамдас бөліктерін көрсету;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ID 5.1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әне сыртқы PR құжаттарын өңдеңіз және реттеңіз.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этикетті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қалыптастыру және ақпарттық аштықтан шығу жолдары.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ИД 5.3 медиа 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ңістікте PR-мәтіндерге SWOT-талдау жүргізу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Студенттерді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бойына қазіргі заманғы коммуникациядағы менеджмент пен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тәжірибелік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селелерін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үсіндіру.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6.1. 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6.2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VVG</w:t>
            </w: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SPRSMM 2209; NIP 3214; APR 4216; Imid 3301; SAPR 3302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Әдебиет және ресурстар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Негізгі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И.В.Алешина. Паблик рилейшнз для менеджеров. М, 2002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Паблик рилейшнз. Что это такое? / Пер. с англ. М, 1990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Дороти Доти. Паблисити и паблик рилейшнз. / Пер. с англ. Филин, М, 1996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Георгий Почепцов Паблик рилейшнз.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Даг Ньюсом, Джуди Ван Слайк Терк, Дин Крукеберг. Все о ПР. Теория и практика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ПР или как успешно управлять общественным мением.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Паблик рилейшнз для профессионалов. М, 1999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Чумиков А Связь с общественностью.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 Введение в Паблик рилейшнз. Ростов на Дону,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PR: Международная практика. Изд. Дом “Довгань”1997.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Қосымша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Алешина И.В. Корпоративный имидж. Маркетинг,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Невзлин Л.Б. “Паблик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 это нужно?” М: Экономика. 1992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 общественностью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власти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управления. Под. Ред. В.С.Комаровского.Алматы, 1997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Яковлев И. PR в организациях. С-Пб, 1995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Честара Дж. Деловой этикет. Паблик рилейшнз. М, 1997. </w:t>
            </w:r>
          </w:p>
        </w:tc>
      </w:tr>
      <w:tr>
        <w:trPr>
          <w:trHeight w:val="1" w:hRule="atLeast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Университетті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моральдық-этикалық құндылықтары контекстіндегі курстың академиялық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тәртіп ережелері: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 аудары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құндылықтар: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/ зертханалық сабақтар, СӨЖ дербес, шығармашылық сипатта болуы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Плагиат, жал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ғандық, алдау парақтарын пайдалану, бақылаудың барлық кезеңдерінде алдау мүмкін емес.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үмкіндігі шектеулі студенттер Е-мекен-жайы бойынша консультациялық көмек ала алады nur_jan99@mail.ru</w:t>
            </w:r>
          </w:p>
        </w:tc>
      </w:tr>
      <w:tr>
        <w:trPr>
          <w:trHeight w:val="58" w:hRule="auto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және аттестаттау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Критериалды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қу курсының мазмұнын іске асыру күнтізбесі  (кесте)</w:t>
      </w:r>
    </w:p>
    <w:tbl>
      <w:tblPr/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қырып атауы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Максимальлы балл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Білімді 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нысаны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қты өткізу нысаны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платформа</w:t>
            </w: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 </w:t>
            </w:r>
          </w:p>
        </w:tc>
      </w:tr>
      <w:tr>
        <w:trPr>
          <w:trHeight w:val="46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1. ХХІ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ғасырдағы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менеджмент пен маркетинг. Менеджменттегі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негізгі түрлері.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03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1.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Д2. Менеджмент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формалары. PR-дағы коммуникацияның маңыздылығы. Этика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жауапкершілік.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2.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жетекші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Д3. Мерзімді баспас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өздің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лекция в Zoom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СБ.3 Тиімді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сипаттамасы.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 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  СОӨЖ орындау бойынша кеңес.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1.Қазақстандағы менеджмент пен маркетингтің даму деңгейі.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Д4. Аудиториямен тиімді байланыс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рменділік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басты құралы.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4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қарудағы зерттеу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қолданылуы.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Д5.Жа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қсы тақырып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жарты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қала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Өңірлік баспасөздің ақпараттық жүйесі.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</w:t>
            </w:r>
          </w:p>
        </w:tc>
      </w:tr>
      <w:tr>
        <w:trPr>
          <w:trHeight w:val="381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лемдік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тарихта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басқарудың үздік стратегиялары. Менеджменттің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Өнімді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өткізу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PR-дағы менеджмент пен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ң рөлі.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Праактикалык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Д7. Шешім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қабылдау. Ішкі корпоративтік коммуникациялар.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 коммуникацияны басқарудың мысалдары.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Отандық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шет елдік менеджмент тарихы мен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жірибесі.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редакцияларындағы басқару үлгілерін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Д8. PR-б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өлімнің қызметін жоспарлау. Стратегиялық жоспарлау.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СБ8.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Кейсы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Д9.  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жоспарлаудың кезеңдері.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СБ9.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 жүзеге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асыру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Инновациялы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 қызметтің тиімділігі.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Қазақстандық табысты PR-құрылымдар.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Д10.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Корпоративтік PR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тимбилдинг. Іскерлік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қарым-қатынасты ұйымдастыру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адамдар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психологиялық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 ету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10. Іскери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ойын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Тимбилдинг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құпиясы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ғулар. Команда құру.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 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3.1-ИД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</w:t>
            </w: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Д11. 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сырт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 топтармен жұмыс.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СБ.11. Стейкхолдерлерге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сипаттама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Д12. Маркетингтік коммуникация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үйесі. Ғаламтор технологиялар базасындағы маркетинг.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12. Шешім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қиғалы, проблемалық жағдайларда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Д1З. Маркетинг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үрлері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оларды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Қазақстанда даму тенденциялары.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1З.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жаңа жүйелері.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Вебинар в Zoom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Ақпараттық менеджмент негізінде компанияның стратегиялық жоспарын жасау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Д14. Табысты орта мен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леуметтік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үйедегі маркетинг. Маркетингтік ақпараттық жүйе.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СБ14.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ұтынушылар мінез-құлқы.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15.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ұны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эволюциясы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СБ15. Аудиторияны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зерттеу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Емтихан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Ескертулер: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ң барлық материалдарын (Л, ЖС, ТТ, ИА және т.б.) сілтеме бойынша қараңыз (әдебиет пен ресурстарды қараңыз, 6-т.).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Әр мерзімнен кейін келесі аптаның тапсырмалары ашылады.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қытушы вебинардың басында КР үшін тапсырмалар береді.]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Декан                                                                 Т.М.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өпбаев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Әдістемелік бюро төрайымы                        М. О. Негизбаева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Кафедра 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ңгерушісі                                      Н.Т. Шыңғысова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әріскер                                                            Б.Т. Әшірбаев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s04web.zoom.us/j/73369902545?pwd=aW1peEg4TXhIalNuUUJKeklSYzg1Zz09" Id="docRId13" Type="http://schemas.openxmlformats.org/officeDocument/2006/relationships/hyperlink" /><Relationship TargetMode="External" Target="https://us04web.zoom.us/j/73369902545?pwd=aW1peEg4TXhIalNuUUJKeklSYzg1Zz09" Id="docRId3" Type="http://schemas.openxmlformats.org/officeDocument/2006/relationships/hyperlink" /><Relationship TargetMode="External" Target="https://us04web.zoom.us/j/73369902545?pwd=aW1peEg4TXhIalNuUUJKeklSYzg1Zz09" Id="docRId7" Type="http://schemas.openxmlformats.org/officeDocument/2006/relationships/hyperlink" /><Relationship TargetMode="External" Target="https://us04web.zoom.us/j/73369902545?pwd=aW1peEg4TXhIalNuUUJKeklSYzg1Zz09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us04web.zoom.us/j/73369902545?pwd=aW1peEg4TXhIalNuUUJKeklSYzg1Zz09" Id="docRId2" Type="http://schemas.openxmlformats.org/officeDocument/2006/relationships/hyperlink" /><Relationship TargetMode="External" Target="https://us04web.zoom.us/j/73369902545?pwd=aW1peEg4TXhIalNuUUJKeklSYzg1Zz09" Id="docRId6" Type="http://schemas.openxmlformats.org/officeDocument/2006/relationships/hyperlink" /><Relationship TargetMode="External" Target="https://us04web.zoom.us/j/73369902545?pwd=aW1peEg4TXhIalNuUUJKeklSYzg1Zz09" Id="docRId1" Type="http://schemas.openxmlformats.org/officeDocument/2006/relationships/hyperlink" /><Relationship TargetMode="External" Target="https://us04web.zoom.us/j/73369902545?pwd=aW1peEg4TXhIalNuUUJKeklSYzg1Zz09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us04web.zoom.us/j/73369902545?pwd=aW1peEg4TXhIalNuUUJKeklSYzg1Zz09" Id="docRId5" Type="http://schemas.openxmlformats.org/officeDocument/2006/relationships/hyperlink" /><Relationship TargetMode="External" Target="https://us04web.zoom.us/j/73369902545?pwd=aW1peEg4TXhIalNuUUJKeklSYzg1Zz09" Id="docRId9" Type="http://schemas.openxmlformats.org/officeDocument/2006/relationships/hyperlink" /><Relationship TargetMode="External" Target="mailto:marlanonneg@gmail.com" Id="docRId0" Type="http://schemas.openxmlformats.org/officeDocument/2006/relationships/hyperlink" /><Relationship TargetMode="External" Target="https://us04web.zoom.us/j/73369902545?pwd=aW1peEg4TXhIalNuUUJKeklSYzg1Zz09" Id="docRId12" Type="http://schemas.openxmlformats.org/officeDocument/2006/relationships/hyperlink" /><Relationship TargetMode="External" Target="https://us04web.zoom.us/j/73369902545?pwd=aW1peEg4TXhIalNuUUJKeklSYzg1Zz09" Id="docRId4" Type="http://schemas.openxmlformats.org/officeDocument/2006/relationships/hyperlink" /><Relationship TargetMode="External" Target="https://us04web.zoom.us/j/73369902545?pwd=aW1peEg4TXhIalNuUUJKeklSYzg1Zz09" Id="docRId8" Type="http://schemas.openxmlformats.org/officeDocument/2006/relationships/hyperlink" /></Relationships>
</file>